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0EB6D" w14:textId="77777777" w:rsidR="00BC5672" w:rsidRPr="00BC5672" w:rsidRDefault="00BC5672" w:rsidP="00FF4CE5">
      <w:pPr>
        <w:rPr>
          <w:rFonts w:asciiTheme="majorHAnsi" w:hAnsiTheme="majorHAnsi" w:cs="MyriadPro-Black"/>
          <w:caps/>
          <w:sz w:val="72"/>
          <w:szCs w:val="72"/>
        </w:rPr>
      </w:pPr>
    </w:p>
    <w:p w14:paraId="04248D15" w14:textId="77777777" w:rsidR="00B1559E" w:rsidRDefault="00B1559E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1AA4AF2F" w14:textId="3A1CF660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AE157D8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71F3D507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32406C66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PRO ŽADATELE A PŘÍJEMCE integrovan</w:t>
      </w:r>
      <w:r w:rsidR="00376A07">
        <w:rPr>
          <w:rFonts w:ascii="Cambria" w:hAnsi="Cambria" w:cs="MyriadPro-Black"/>
          <w:caps/>
          <w:sz w:val="60"/>
          <w:szCs w:val="60"/>
        </w:rPr>
        <w:t>ÝCH</w:t>
      </w:r>
      <w:r>
        <w:rPr>
          <w:rFonts w:ascii="Cambria" w:hAnsi="Cambria" w:cs="MyriadPro-Black"/>
          <w:caps/>
          <w:sz w:val="60"/>
          <w:szCs w:val="60"/>
        </w:rPr>
        <w:t xml:space="preserve"> projekt</w:t>
      </w:r>
      <w:r w:rsidR="00376A07">
        <w:rPr>
          <w:rFonts w:ascii="Cambria" w:hAnsi="Cambria" w:cs="MyriadPro-Black"/>
          <w:caps/>
          <w:sz w:val="60"/>
          <w:szCs w:val="60"/>
        </w:rPr>
        <w:t>Ů</w:t>
      </w:r>
      <w:r>
        <w:rPr>
          <w:rFonts w:ascii="Cambria" w:hAnsi="Cambria" w:cs="MyriadPro-Black"/>
          <w:caps/>
          <w:sz w:val="60"/>
          <w:szCs w:val="60"/>
        </w:rPr>
        <w:t xml:space="preserve"> </w:t>
      </w:r>
      <w:r w:rsidR="00E735C3">
        <w:rPr>
          <w:rFonts w:asciiTheme="majorHAnsi" w:hAnsiTheme="majorHAnsi" w:cs="MyriadPro-Black"/>
          <w:caps/>
          <w:sz w:val="60"/>
          <w:szCs w:val="60"/>
        </w:rPr>
        <w:t>ITI</w:t>
      </w:r>
    </w:p>
    <w:p w14:paraId="6C8B4C75" w14:textId="77777777" w:rsidR="00FF4CE5" w:rsidRDefault="00FF4CE5" w:rsidP="00FF4CE5"/>
    <w:p w14:paraId="370128AE" w14:textId="18C0E29C" w:rsidR="00FF4CE5" w:rsidRDefault="00FF4CE5" w:rsidP="00FF4CE5"/>
    <w:p w14:paraId="3AC2497F" w14:textId="77777777" w:rsidR="00B1559E" w:rsidRDefault="00B1559E" w:rsidP="00FF4CE5"/>
    <w:p w14:paraId="42825E92" w14:textId="77777777"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715EBF">
        <w:rPr>
          <w:rFonts w:cs="MyriadPro-Black"/>
          <w:caps/>
          <w:color w:val="A6A6A6"/>
          <w:sz w:val="40"/>
          <w:szCs w:val="40"/>
        </w:rPr>
        <w:t>2</w:t>
      </w:r>
      <w:r>
        <w:rPr>
          <w:rFonts w:cs="MyriadPro-Black"/>
          <w:caps/>
          <w:color w:val="A6A6A6"/>
          <w:sz w:val="40"/>
          <w:szCs w:val="40"/>
        </w:rPr>
        <w:t>.1</w:t>
      </w:r>
    </w:p>
    <w:p w14:paraId="1E72EC32" w14:textId="77777777"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E735C3">
        <w:rPr>
          <w:rFonts w:cs="MyriadPro-Black"/>
          <w:caps/>
          <w:color w:val="A6A6A6"/>
          <w:sz w:val="40"/>
          <w:szCs w:val="40"/>
        </w:rPr>
        <w:t>60</w:t>
      </w:r>
    </w:p>
    <w:p w14:paraId="39DBF5E2" w14:textId="77777777"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14:paraId="4674B006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3B1DC1">
        <w:rPr>
          <w:rFonts w:ascii="Cambria" w:hAnsi="Cambria" w:cs="MyriadPro-Black"/>
          <w:caps/>
          <w:color w:val="auto"/>
          <w:sz w:val="40"/>
          <w:szCs w:val="40"/>
        </w:rPr>
        <w:t>5</w:t>
      </w:r>
    </w:p>
    <w:p w14:paraId="0591B69E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217761C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191AD82E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5E4258B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C810E41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1189A0C" w14:textId="061B01CC" w:rsidR="00FF4CE5" w:rsidRPr="00952131" w:rsidRDefault="00B1559E">
      <w:pPr>
        <w:spacing w:line="276" w:lineRule="auto"/>
      </w:pPr>
      <w:r w:rsidRPr="004A7B47">
        <w:rPr>
          <w:rFonts w:cs="MyriadPro-Black"/>
          <w:caps/>
          <w:sz w:val="32"/>
          <w:szCs w:val="40"/>
        </w:rPr>
        <w:t xml:space="preserve">pLATNOST </w:t>
      </w:r>
      <w:r w:rsidRPr="00D50651">
        <w:rPr>
          <w:rFonts w:cs="MyriadPro-Black"/>
          <w:caps/>
          <w:sz w:val="32"/>
          <w:szCs w:val="40"/>
        </w:rPr>
        <w:t xml:space="preserve">OD </w:t>
      </w:r>
      <w:r w:rsidR="00640A77">
        <w:rPr>
          <w:rFonts w:cs="MyriadPro-Black"/>
          <w:caps/>
          <w:sz w:val="32"/>
          <w:szCs w:val="40"/>
        </w:rPr>
        <w:t>29</w:t>
      </w:r>
      <w:r w:rsidR="007511E5" w:rsidRPr="00D50651">
        <w:rPr>
          <w:rFonts w:cs="MyriadPro-Black"/>
          <w:caps/>
          <w:sz w:val="32"/>
          <w:szCs w:val="40"/>
        </w:rPr>
        <w:t xml:space="preserve">. </w:t>
      </w:r>
      <w:r w:rsidR="00640A77">
        <w:rPr>
          <w:rFonts w:cs="MyriadPro-Black"/>
          <w:caps/>
          <w:sz w:val="32"/>
          <w:szCs w:val="40"/>
        </w:rPr>
        <w:t>6</w:t>
      </w:r>
      <w:r w:rsidRPr="00D50651">
        <w:rPr>
          <w:rFonts w:cs="MyriadPro-Black"/>
          <w:caps/>
          <w:sz w:val="32"/>
          <w:szCs w:val="40"/>
        </w:rPr>
        <w:t>. 201</w:t>
      </w:r>
      <w:r w:rsidR="00A03BE6">
        <w:rPr>
          <w:rFonts w:cs="MyriadPro-Black"/>
          <w:caps/>
          <w:sz w:val="32"/>
          <w:szCs w:val="40"/>
        </w:rPr>
        <w:t>8</w:t>
      </w:r>
      <w:r w:rsidR="00FF4CE5" w:rsidRPr="00952131">
        <w:br w:type="page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FF4CE5" w14:paraId="63C1BE9D" w14:textId="77777777" w:rsidTr="00FF4CE5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DAADC8" w14:textId="77777777" w:rsidR="00FF4CE5" w:rsidRPr="008658FE" w:rsidRDefault="00FF4CE5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Stavby</w:t>
            </w:r>
          </w:p>
          <w:p w14:paraId="6B4988F3" w14:textId="77777777" w:rsidR="00FF4CE5" w:rsidRPr="00B1559E" w:rsidRDefault="00FF4CE5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7F17D46D" w14:textId="77777777" w:rsidR="00FF4CE5" w:rsidRPr="00B1559E" w:rsidRDefault="00FF4CE5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>Stavební úpravy</w:t>
            </w:r>
          </w:p>
          <w:p w14:paraId="503D4711" w14:textId="77777777" w:rsidR="00FF4CE5" w:rsidRPr="00B1559E" w:rsidRDefault="00FF4CE5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59DC3F8D" w14:textId="77777777" w:rsidR="00BA764A" w:rsidRPr="00B1559E" w:rsidRDefault="000912BF">
            <w:pPr>
              <w:spacing w:after="0"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>Rekonstrukce</w:t>
            </w:r>
          </w:p>
          <w:p w14:paraId="717EDF08" w14:textId="77777777" w:rsidR="000912BF" w:rsidRPr="00B1559E" w:rsidRDefault="000912BF">
            <w:pPr>
              <w:spacing w:after="0"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2B3F3BCE" w14:textId="77777777" w:rsidR="00FF4CE5" w:rsidRPr="008658FE" w:rsidRDefault="00FF4CE5">
            <w:pPr>
              <w:spacing w:after="0"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>Demolice</w:t>
            </w:r>
            <w:r w:rsidRPr="00B1559E">
              <w:rPr>
                <w:rFonts w:asciiTheme="majorHAnsi" w:hAnsiTheme="maj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3E61817" w14:textId="77777777" w:rsidR="00FF4CE5" w:rsidRPr="008658F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účetní/daňové doklady s identifikací předmětu plnění pro posouzení způsobilosti výdaje; </w:t>
            </w:r>
          </w:p>
          <w:p w14:paraId="1D37046C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62B16372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4A40FFCE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smlouva o dílo vč. položkového rozpočtu stavby, případně dodatky smlouvy o dílo;</w:t>
            </w:r>
          </w:p>
          <w:p w14:paraId="3AA25130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protokol o předání a převzetí díla/stavby;</w:t>
            </w:r>
          </w:p>
          <w:p w14:paraId="00115FA1" w14:textId="00EEC14B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kolaudační rozhodnutí či souhlas</w:t>
            </w:r>
            <w:r w:rsidR="008658FE" w:rsidRPr="00B1559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358E5804" w14:textId="6BB93D20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 w:rsidR="00B97A56">
              <w:rPr>
                <w:rFonts w:asciiTheme="majorHAnsi" w:hAnsiTheme="majorHAnsi"/>
                <w:sz w:val="22"/>
                <w:szCs w:val="22"/>
              </w:rPr>
              <w:t xml:space="preserve">povolení k 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>předčasném</w:t>
            </w:r>
            <w:r w:rsidR="00B97A56">
              <w:rPr>
                <w:rFonts w:asciiTheme="majorHAnsi" w:hAnsiTheme="majorHAnsi"/>
                <w:sz w:val="22"/>
                <w:szCs w:val="22"/>
              </w:rPr>
              <w:t>u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 xml:space="preserve"> už</w:t>
            </w:r>
            <w:r w:rsidR="00B97A56">
              <w:rPr>
                <w:rFonts w:asciiTheme="majorHAnsi" w:hAnsiTheme="majorHAnsi"/>
                <w:sz w:val="22"/>
                <w:szCs w:val="22"/>
              </w:rPr>
              <w:t>ívání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 xml:space="preserve"> stavby</w:t>
            </w:r>
            <w:r w:rsidR="008658FE" w:rsidRPr="00B1559E">
              <w:rPr>
                <w:rFonts w:asciiTheme="majorHAnsi" w:hAnsiTheme="majorHAnsi"/>
                <w:sz w:val="22"/>
                <w:szCs w:val="22"/>
              </w:rPr>
              <w:t>;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30D35198" w14:textId="237FA3A6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 w:rsidR="00B97A56">
              <w:rPr>
                <w:rFonts w:asciiTheme="majorHAnsi" w:hAnsiTheme="majorHAnsi"/>
                <w:sz w:val="22"/>
                <w:szCs w:val="22"/>
              </w:rPr>
              <w:t xml:space="preserve">povolení 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>zkušební</w:t>
            </w:r>
            <w:r w:rsidR="00B97A56">
              <w:rPr>
                <w:rFonts w:asciiTheme="majorHAnsi" w:hAnsiTheme="majorHAnsi"/>
                <w:sz w:val="22"/>
                <w:szCs w:val="22"/>
              </w:rPr>
              <w:t>ho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 xml:space="preserve"> provozu</w:t>
            </w:r>
            <w:r w:rsidR="00B97A56">
              <w:rPr>
                <w:rFonts w:asciiTheme="majorHAnsi" w:hAnsiTheme="majorHAnsi"/>
                <w:sz w:val="22"/>
                <w:szCs w:val="22"/>
              </w:rPr>
              <w:t xml:space="preserve"> před vydáním kolaudačního souhlasu</w:t>
            </w:r>
            <w:r w:rsidR="001141F1">
              <w:rPr>
                <w:rFonts w:asciiTheme="majorHAnsi" w:hAnsiTheme="majorHAnsi"/>
                <w:sz w:val="22"/>
                <w:szCs w:val="22"/>
              </w:rPr>
              <w:t xml:space="preserve"> nebo rozhodnutí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07B271BB" w14:textId="71201BBD" w:rsidR="00FF4CE5" w:rsidRPr="008658FE" w:rsidRDefault="00FF4CE5" w:rsidP="008658F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demoliční výměr.</w:t>
            </w:r>
          </w:p>
        </w:tc>
      </w:tr>
      <w:tr w:rsidR="00B54467" w14:paraId="1F48A1A1" w14:textId="77777777" w:rsidTr="00FF4CE5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ABA8945" w14:textId="77777777" w:rsidR="00B54467" w:rsidRPr="00B1559E" w:rsidRDefault="00B54467" w:rsidP="00924F13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 w:cs="Arial"/>
                <w:b/>
                <w:sz w:val="22"/>
                <w:szCs w:val="22"/>
              </w:rPr>
              <w:t xml:space="preserve">Nákup pozemků </w:t>
            </w:r>
          </w:p>
          <w:p w14:paraId="0130D5B1" w14:textId="77777777" w:rsidR="00B54467" w:rsidRPr="00B1559E" w:rsidRDefault="00B54467" w:rsidP="00B54467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sz w:val="22"/>
                <w:szCs w:val="22"/>
              </w:rPr>
            </w:pPr>
            <w:r w:rsidRPr="00B1559E">
              <w:rPr>
                <w:sz w:val="22"/>
                <w:szCs w:val="22"/>
              </w:rPr>
              <w:t xml:space="preserve">do 10 % celkových způsobilých výdajů projektu; </w:t>
            </w:r>
          </w:p>
          <w:p w14:paraId="49828E90" w14:textId="77777777" w:rsidR="00B54467" w:rsidRPr="00B1559E" w:rsidRDefault="00B54467" w:rsidP="00B54467">
            <w:pPr>
              <w:pStyle w:val="Odstavecseseznamem"/>
              <w:numPr>
                <w:ilvl w:val="0"/>
                <w:numId w:val="22"/>
              </w:numPr>
              <w:tabs>
                <w:tab w:val="left" w:pos="4050"/>
              </w:tabs>
              <w:rPr>
                <w:rFonts w:cs="Arial"/>
                <w:sz w:val="22"/>
                <w:szCs w:val="22"/>
              </w:rPr>
            </w:pPr>
            <w:r w:rsidRPr="00B1559E">
              <w:rPr>
                <w:sz w:val="22"/>
                <w:szCs w:val="22"/>
              </w:rPr>
              <w:t>pořizovací cena max. do výše ceny zjištěné znaleckým posudkem.</w:t>
            </w:r>
          </w:p>
          <w:p w14:paraId="30A40B0C" w14:textId="77777777" w:rsidR="00B54467" w:rsidRPr="00B1559E" w:rsidRDefault="00B54467" w:rsidP="00924F13">
            <w:pPr>
              <w:ind w:left="720"/>
              <w:rPr>
                <w:rFonts w:asciiTheme="majorHAnsi" w:hAnsiTheme="majorHAnsi"/>
                <w:sz w:val="22"/>
                <w:szCs w:val="22"/>
              </w:rPr>
            </w:pPr>
          </w:p>
          <w:p w14:paraId="20489D68" w14:textId="77777777" w:rsidR="00B54467" w:rsidRPr="00B1559E" w:rsidRDefault="00B54467" w:rsidP="00924F13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>Nákup staveb</w:t>
            </w:r>
          </w:p>
          <w:p w14:paraId="1CCB74A7" w14:textId="77777777" w:rsidR="00B54467" w:rsidRPr="008658FE" w:rsidRDefault="00B54467" w:rsidP="00F75BBA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B1559E">
              <w:rPr>
                <w:sz w:val="22"/>
                <w:szCs w:val="22"/>
              </w:rPr>
              <w:t>pořizovací cena max. do výše ceny zjištěné znaleckým posudkem.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46E44A" w14:textId="77777777" w:rsidR="00B54467" w:rsidRPr="00B1559E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6EB0B882" w14:textId="77777777" w:rsidR="00B54467" w:rsidRPr="00B1559E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kupní smlouva; </w:t>
            </w:r>
          </w:p>
          <w:p w14:paraId="0CA333F6" w14:textId="77777777" w:rsidR="00B54467" w:rsidRPr="00B1559E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znalecký posudek ne starší 6 měsíců před datem pořízení nemovitosti;</w:t>
            </w:r>
          </w:p>
          <w:p w14:paraId="6C0D2B06" w14:textId="77777777" w:rsidR="00B54467" w:rsidRPr="00B1559E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50386A08" w14:textId="77777777" w:rsidR="00B54467" w:rsidRPr="008658FE" w:rsidRDefault="00B54467">
            <w:pPr>
              <w:spacing w:line="276" w:lineRule="auto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</w:tr>
      <w:tr w:rsidR="00FF4CE5" w14:paraId="1183C459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06D6678" w14:textId="77777777" w:rsidR="00FF4CE5" w:rsidRPr="008658FE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 xml:space="preserve">Pořízení drobného hmotného majetku </w:t>
            </w:r>
          </w:p>
          <w:p w14:paraId="4000E049" w14:textId="77777777" w:rsidR="00FF4CE5" w:rsidRPr="00B1559E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 xml:space="preserve">Pořízení drobného nehmotného majetku </w:t>
            </w:r>
          </w:p>
          <w:p w14:paraId="7CA9306D" w14:textId="77777777" w:rsidR="00FF4CE5" w:rsidRPr="00B1559E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 xml:space="preserve">Pořízení dlouhodobého hmotného majetku </w:t>
            </w:r>
          </w:p>
          <w:p w14:paraId="65D83C53" w14:textId="77D503BD" w:rsidR="00FF4CE5" w:rsidRPr="008658FE" w:rsidRDefault="00FF4CE5" w:rsidP="00B1559E">
            <w:pPr>
              <w:spacing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 xml:space="preserve">Pořízení dlouhodobého nehmotného majetku 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38F2FB2" w14:textId="0D01F4ED" w:rsidR="00FF4CE5" w:rsidRPr="008658F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14:paraId="17258D98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16B5B01A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2EC332E2" w14:textId="211566E2" w:rsidR="00FF4CE5" w:rsidRPr="008658FE" w:rsidRDefault="00FF4CE5" w:rsidP="008658F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smlouva, případně její dodatky</w:t>
            </w:r>
            <w:r w:rsidR="008658FE" w:rsidRPr="00B1559E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FF4CE5" w14:paraId="7624C499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103F4F" w14:textId="77777777" w:rsidR="00FF4CE5" w:rsidRPr="008658FE" w:rsidRDefault="00FF4CE5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 w:cs="Arial"/>
                <w:b/>
                <w:sz w:val="22"/>
                <w:szCs w:val="22"/>
              </w:rPr>
              <w:t>Projektová dokumentace</w:t>
            </w:r>
          </w:p>
          <w:p w14:paraId="15597D4A" w14:textId="77777777" w:rsidR="00FF4CE5" w:rsidRPr="008658FE" w:rsidRDefault="00FF4CE5" w:rsidP="00F75BBA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line="276" w:lineRule="auto"/>
              <w:jc w:val="left"/>
              <w:rPr>
                <w:sz w:val="22"/>
                <w:szCs w:val="22"/>
              </w:rPr>
            </w:pPr>
            <w:r w:rsidRPr="00D413FB">
              <w:rPr>
                <w:sz w:val="22"/>
                <w:szCs w:val="22"/>
              </w:rPr>
              <w:t>projektové dokumentace stavby a související průzkumy stavby</w:t>
            </w:r>
          </w:p>
          <w:p w14:paraId="25282D37" w14:textId="77777777" w:rsidR="00FF4CE5" w:rsidRPr="008658FE" w:rsidRDefault="00FF4CE5" w:rsidP="00F75BBA">
            <w:pPr>
              <w:pStyle w:val="Odstavecseseznamem"/>
              <w:numPr>
                <w:ilvl w:val="0"/>
                <w:numId w:val="4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dokumentace k procesu EIA</w:t>
            </w:r>
          </w:p>
          <w:p w14:paraId="7B65E112" w14:textId="4D18B1C9" w:rsidR="00FF4CE5" w:rsidRPr="008658FE" w:rsidRDefault="00FF4CE5" w:rsidP="00B1559E">
            <w:pPr>
              <w:pStyle w:val="Odstavecseseznamem"/>
              <w:numPr>
                <w:ilvl w:val="0"/>
                <w:numId w:val="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lastRenderedPageBreak/>
              <w:t>studie proveditelnosti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E786BC6" w14:textId="77777777" w:rsidR="00FF4CE5" w:rsidRPr="008658FE" w:rsidRDefault="00FF4CE5" w:rsidP="00F75BBA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lastRenderedPageBreak/>
              <w:t xml:space="preserve">účetní/daňové doklady se zřejmou identifikací předmětu plnění pro posouzení způsobilosti; </w:t>
            </w:r>
          </w:p>
          <w:p w14:paraId="3CCB44B3" w14:textId="77777777" w:rsidR="00FF4CE5" w:rsidRPr="008658FE" w:rsidRDefault="00FF4CE5" w:rsidP="00F75BBA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5D176297" w14:textId="77777777" w:rsidR="00FF4CE5" w:rsidRPr="008658FE" w:rsidRDefault="00FF4CE5" w:rsidP="00F75BBA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doklad o zaplacení;</w:t>
            </w:r>
          </w:p>
          <w:p w14:paraId="33A904AA" w14:textId="2CC01AC4" w:rsidR="00FF4CE5" w:rsidRPr="008658FE" w:rsidRDefault="00FF4CE5" w:rsidP="00B1559E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lastRenderedPageBreak/>
              <w:t>smlouva, případně její dodatky.</w:t>
            </w:r>
          </w:p>
        </w:tc>
      </w:tr>
      <w:tr w:rsidR="00FF4CE5" w14:paraId="6809EE71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970F6C" w14:textId="77777777" w:rsidR="00FF4CE5" w:rsidRPr="008658FE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Zabezpečení výstavby </w:t>
            </w:r>
          </w:p>
          <w:p w14:paraId="6D37AD86" w14:textId="77777777" w:rsidR="00FF4CE5" w:rsidRPr="00D413FB" w:rsidRDefault="00FF4CE5" w:rsidP="00F75BBA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D413FB">
              <w:rPr>
                <w:sz w:val="22"/>
                <w:szCs w:val="22"/>
              </w:rPr>
              <w:t>technický dozor investora</w:t>
            </w:r>
          </w:p>
          <w:p w14:paraId="0C08E14C" w14:textId="77777777" w:rsidR="00FF4CE5" w:rsidRPr="008658FE" w:rsidRDefault="00FF4CE5" w:rsidP="00F75BBA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BOZP</w:t>
            </w:r>
          </w:p>
          <w:p w14:paraId="4BB7DE93" w14:textId="77777777" w:rsidR="00FF4CE5" w:rsidRPr="008658FE" w:rsidRDefault="00FF4CE5" w:rsidP="00F75BBA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autorský dozor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E28F8E" w14:textId="77777777" w:rsidR="00FF4CE5" w:rsidRPr="008658F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14:paraId="79AA38D6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12536C6C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73DFB404" w14:textId="041514DD" w:rsidR="00FF4CE5" w:rsidRPr="008658FE" w:rsidRDefault="00FF4CE5" w:rsidP="00B1559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smlouva, případně její dodatky.</w:t>
            </w:r>
          </w:p>
        </w:tc>
      </w:tr>
      <w:tr w:rsidR="00FF4CE5" w14:paraId="560D0E81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0D61F4" w14:textId="77777777" w:rsidR="00FF4CE5" w:rsidRPr="008658FE" w:rsidRDefault="00FF4CE5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 bezprostředně souvisejících s realizací projektu:</w:t>
            </w:r>
          </w:p>
          <w:p w14:paraId="7C73C5F9" w14:textId="77777777" w:rsidR="00FF4CE5" w:rsidRPr="00D413FB" w:rsidRDefault="00FF4CE5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</w:rPr>
            </w:pPr>
          </w:p>
          <w:p w14:paraId="007ED6B9" w14:textId="77777777" w:rsidR="00FF4CE5" w:rsidRPr="008658FE" w:rsidRDefault="00FF4CE5" w:rsidP="00F75BBA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 w:rsidRPr="008658FE">
              <w:rPr>
                <w:bCs/>
                <w:sz w:val="22"/>
                <w:szCs w:val="22"/>
              </w:rPr>
              <w:t>Studie proveditelnosti,</w:t>
            </w:r>
          </w:p>
          <w:p w14:paraId="1D003506" w14:textId="77777777" w:rsidR="00FF4CE5" w:rsidRPr="008658FE" w:rsidRDefault="00FF4CE5" w:rsidP="00F75BBA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 w:rsidRPr="008658FE">
              <w:rPr>
                <w:bCs/>
                <w:sz w:val="22"/>
                <w:szCs w:val="22"/>
              </w:rPr>
              <w:t>zadávací a výběrová řízení (výdaje spojené s přípravou a realizací zadávacích a výběrových řízení)</w:t>
            </w:r>
          </w:p>
          <w:p w14:paraId="2BFEFB67" w14:textId="77777777" w:rsidR="00FF4CE5" w:rsidRPr="008658FE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FFF63B0" w14:textId="77777777" w:rsidR="00FF4CE5" w:rsidRPr="008658F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účetní/daňové doklady s identifikací předmětu plnění pro posouzení způsobilosti;</w:t>
            </w:r>
          </w:p>
          <w:p w14:paraId="33A04126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pokud nelze přesně posoudit způsobilost výdaje účetního nebo da</w:t>
            </w:r>
            <w:bookmarkStart w:id="0" w:name="_GoBack"/>
            <w:bookmarkEnd w:id="0"/>
            <w:r w:rsidRPr="00B1559E">
              <w:rPr>
                <w:rFonts w:asciiTheme="majorHAnsi" w:hAnsiTheme="majorHAnsi"/>
                <w:sz w:val="22"/>
                <w:szCs w:val="22"/>
              </w:rPr>
              <w:t>ňového dokladu, doložit jiné relevantní doklady, např. objednávku, dodací list, předávací protokol;</w:t>
            </w:r>
          </w:p>
          <w:p w14:paraId="137301A8" w14:textId="77777777" w:rsidR="00B97A56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doklady o zaplacení; </w:t>
            </w:r>
          </w:p>
          <w:p w14:paraId="25F027BF" w14:textId="7F2D99D2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 w:rsidR="008658FE" w:rsidRPr="00B1559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0931952B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smlouva o poskytnutí služeb, smlouva o dílo, případně její dodatky; </w:t>
            </w:r>
          </w:p>
          <w:p w14:paraId="4E3450BC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způsob výpočtu alikvotní částky, pokud se uplatňuje poměrná část výdaje pro projekt;</w:t>
            </w:r>
          </w:p>
          <w:p w14:paraId="7AE59EE1" w14:textId="7F97EE16" w:rsidR="00FF4CE5" w:rsidRPr="008658FE" w:rsidRDefault="00FF4CE5" w:rsidP="00B1559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zaplacení.</w:t>
            </w:r>
          </w:p>
        </w:tc>
      </w:tr>
      <w:tr w:rsidR="00FF4CE5" w14:paraId="20E66738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F252F0" w14:textId="77777777" w:rsidR="00FF4CE5" w:rsidRPr="008658FE" w:rsidRDefault="00FF4CE5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 w:cs="Arial"/>
                <w:b/>
                <w:sz w:val="22"/>
                <w:szCs w:val="22"/>
              </w:rPr>
              <w:t>Povinná publicita</w:t>
            </w:r>
          </w:p>
          <w:p w14:paraId="6464A67D" w14:textId="77777777" w:rsidR="00FF4CE5" w:rsidRPr="00D413FB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53F96F" w14:textId="77777777" w:rsidR="00FF4CE5" w:rsidRPr="008658F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účetní/daňové doklady s identifikací předmětu plnění pro posouzení způsobilosti;</w:t>
            </w:r>
          </w:p>
          <w:p w14:paraId="2494B9A5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78A2A9C2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smlouva o poskytnutí služeb, smlouva o dílo, případně její dodatky;</w:t>
            </w:r>
          </w:p>
          <w:p w14:paraId="65A5B38F" w14:textId="3007924E" w:rsidR="00FF4CE5" w:rsidRPr="008658FE" w:rsidRDefault="00FF4CE5" w:rsidP="00B1559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zaplacení.</w:t>
            </w:r>
          </w:p>
        </w:tc>
      </w:tr>
      <w:tr w:rsidR="00FF4CE5" w14:paraId="452029E8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1282E5" w14:textId="77777777" w:rsidR="00FF4CE5" w:rsidRPr="008658FE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 w:cs="Arial"/>
                <w:b/>
                <w:sz w:val="22"/>
                <w:szCs w:val="22"/>
              </w:rPr>
              <w:t>DPH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B3463D5" w14:textId="77777777" w:rsidR="00FF4CE5" w:rsidRPr="008658F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03E6B7A7" w14:textId="77777777" w:rsidR="00FF4CE5" w:rsidRPr="008658FE" w:rsidRDefault="00FF4CE5" w:rsidP="00CE58EB">
            <w:pPr>
              <w:numPr>
                <w:ilvl w:val="1"/>
                <w:numId w:val="7"/>
              </w:numPr>
              <w:spacing w:after="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při využití přenesené daňové povinnosti kopie evidence pro daňové účely a kopie výpisu z bankovního účtu jako doklad o úhradě daňové povinnosti </w:t>
            </w:r>
            <w:r w:rsidR="00CE58EB" w:rsidRPr="00B1559E">
              <w:rPr>
                <w:rFonts w:asciiTheme="majorHAnsi" w:hAnsiTheme="majorHAnsi"/>
                <w:sz w:val="22"/>
                <w:szCs w:val="22"/>
              </w:rPr>
              <w:t>orgánu finanční správy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FF4CE5" w14:paraId="09B58A56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F47182" w14:textId="77777777" w:rsidR="00FF4CE5" w:rsidRPr="008658FE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Účetní doklady do 10 000 Kč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5B38C54" w14:textId="77777777" w:rsidR="00FF4CE5" w:rsidRPr="008658F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14:paraId="741B2EFB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14:paraId="51E6436D" w14:textId="77777777" w:rsidR="00FF4CE5" w:rsidRPr="008658FE" w:rsidRDefault="00FF4CE5" w:rsidP="00F75BBA">
            <w:pPr>
              <w:numPr>
                <w:ilvl w:val="1"/>
                <w:numId w:val="7"/>
              </w:numPr>
              <w:spacing w:after="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14:paraId="1488C1A3" w14:textId="77777777" w:rsidR="002F7B44" w:rsidRDefault="002F7B44"/>
    <w:p w14:paraId="5D794D20" w14:textId="77777777" w:rsidR="002F7B44" w:rsidRDefault="002F7B44">
      <w:pPr>
        <w:spacing w:line="276" w:lineRule="auto"/>
      </w:pPr>
    </w:p>
    <w:sectPr w:rsidR="002F7B44" w:rsidSect="00FF4CE5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E7A8F" w14:textId="77777777" w:rsidR="008F5938" w:rsidRDefault="008F5938" w:rsidP="00FF4CE5">
      <w:pPr>
        <w:spacing w:after="0"/>
      </w:pPr>
      <w:r>
        <w:separator/>
      </w:r>
    </w:p>
  </w:endnote>
  <w:endnote w:type="continuationSeparator" w:id="0">
    <w:p w14:paraId="3FEDD8B6" w14:textId="77777777" w:rsidR="008F5938" w:rsidRDefault="008F5938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14:paraId="1B958576" w14:textId="77777777"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14:paraId="5043E5C2" w14:textId="77777777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22DC40D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0C70BCD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F1C9296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6305988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37E7BCD4" w14:textId="1E08C0CB"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473D85">
                <w:rPr>
                  <w:rStyle w:val="slostrnky"/>
                  <w:rFonts w:ascii="Arial" w:hAnsi="Arial" w:cs="Arial"/>
                  <w:noProof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473D85">
                <w:rPr>
                  <w:rStyle w:val="slostrnky"/>
                  <w:rFonts w:ascii="Arial" w:hAnsi="Arial" w:cs="Arial"/>
                  <w:noProof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14:paraId="57D22E06" w14:textId="77777777" w:rsidR="008427CF" w:rsidRDefault="00473D85">
        <w:pPr>
          <w:pStyle w:val="Zpat"/>
          <w:jc w:val="center"/>
        </w:pPr>
      </w:p>
    </w:sdtContent>
  </w:sdt>
  <w:p w14:paraId="353C8142" w14:textId="77777777" w:rsidR="008427CF" w:rsidRDefault="008427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C1988B" w14:textId="77777777" w:rsidR="008F5938" w:rsidRDefault="008F5938" w:rsidP="00FF4CE5">
      <w:pPr>
        <w:spacing w:after="0"/>
      </w:pPr>
      <w:r>
        <w:separator/>
      </w:r>
    </w:p>
  </w:footnote>
  <w:footnote w:type="continuationSeparator" w:id="0">
    <w:p w14:paraId="0007209B" w14:textId="77777777" w:rsidR="008F5938" w:rsidRDefault="008F5938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BF367" w14:textId="77777777"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6398817D" wp14:editId="6CAC861A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12"/>
  </w:num>
  <w:num w:numId="7">
    <w:abstractNumId w:val="0"/>
  </w:num>
  <w:num w:numId="8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</w:num>
  <w:num w:numId="10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</w:num>
  <w:num w:numId="12">
    <w:abstractNumId w:val="2"/>
  </w:num>
  <w:num w:numId="13">
    <w:abstractNumId w:val="3"/>
  </w:num>
  <w:num w:numId="14">
    <w:abstractNumId w:val="12"/>
  </w:num>
  <w:num w:numId="15">
    <w:abstractNumId w:val="0"/>
  </w:num>
  <w:num w:numId="16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9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0"/>
  </w:num>
  <w:num w:numId="22">
    <w:abstractNumId w:val="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912BF"/>
    <w:rsid w:val="000B552A"/>
    <w:rsid w:val="000C657B"/>
    <w:rsid w:val="001141F1"/>
    <w:rsid w:val="001C4775"/>
    <w:rsid w:val="002F7B44"/>
    <w:rsid w:val="00376A07"/>
    <w:rsid w:val="003B1DC1"/>
    <w:rsid w:val="0043694D"/>
    <w:rsid w:val="00473D85"/>
    <w:rsid w:val="00573DBC"/>
    <w:rsid w:val="005C3D9C"/>
    <w:rsid w:val="00640A77"/>
    <w:rsid w:val="006A6582"/>
    <w:rsid w:val="006E2346"/>
    <w:rsid w:val="006E2A5B"/>
    <w:rsid w:val="00715EBF"/>
    <w:rsid w:val="007511E5"/>
    <w:rsid w:val="007F00C9"/>
    <w:rsid w:val="008427CF"/>
    <w:rsid w:val="008658FE"/>
    <w:rsid w:val="00870FA3"/>
    <w:rsid w:val="008A04C9"/>
    <w:rsid w:val="008F5938"/>
    <w:rsid w:val="009048DC"/>
    <w:rsid w:val="00952131"/>
    <w:rsid w:val="00A03BE6"/>
    <w:rsid w:val="00B1559E"/>
    <w:rsid w:val="00B54467"/>
    <w:rsid w:val="00B75437"/>
    <w:rsid w:val="00B8401C"/>
    <w:rsid w:val="00B97A56"/>
    <w:rsid w:val="00BA764A"/>
    <w:rsid w:val="00BC5672"/>
    <w:rsid w:val="00C917A3"/>
    <w:rsid w:val="00C94438"/>
    <w:rsid w:val="00C96EAE"/>
    <w:rsid w:val="00CE58EB"/>
    <w:rsid w:val="00D413FB"/>
    <w:rsid w:val="00D50651"/>
    <w:rsid w:val="00E735C3"/>
    <w:rsid w:val="00E920DF"/>
    <w:rsid w:val="00F63071"/>
    <w:rsid w:val="00F84874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71E3A"/>
  <w15:docId w15:val="{EEB82799-7B59-4BC2-8226-AB2CA0F7E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B7543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17A99-0E1D-499D-A383-8001CBCEC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645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Soňa Habová</cp:lastModifiedBy>
  <cp:revision>33</cp:revision>
  <cp:lastPrinted>2016-10-07T09:13:00Z</cp:lastPrinted>
  <dcterms:created xsi:type="dcterms:W3CDTF">2016-09-21T09:18:00Z</dcterms:created>
  <dcterms:modified xsi:type="dcterms:W3CDTF">2018-06-22T10:11:00Z</dcterms:modified>
</cp:coreProperties>
</file>